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785" w:type="dxa"/>
        <w:tblInd w:w="-1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1276"/>
        <w:gridCol w:w="4829"/>
      </w:tblGrid>
      <w:tr w14:paraId="0A714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8" w:type="dxa"/>
          </w:tcPr>
          <w:p w14:paraId="4765A24A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529A9013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Республика Алтай </w:t>
            </w:r>
          </w:p>
          <w:p w14:paraId="7E1870D5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Усть-Коксинский район</w:t>
            </w:r>
          </w:p>
          <w:p w14:paraId="60FAA564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Сельская администрация </w:t>
            </w:r>
          </w:p>
          <w:p w14:paraId="3DF27C79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Огневского сельского поселения</w:t>
            </w:r>
          </w:p>
          <w:p w14:paraId="714D6EDC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14:paraId="4227567E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</w:t>
            </w:r>
          </w:p>
          <w:p w14:paraId="11B82F5A"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</w:t>
            </w:r>
          </w:p>
        </w:tc>
        <w:tc>
          <w:tcPr>
            <w:tcW w:w="1276" w:type="dxa"/>
          </w:tcPr>
          <w:p w14:paraId="043446D9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</w:t>
            </w:r>
          </w:p>
          <w:p w14:paraId="3C650859">
            <w:pPr>
              <w:widowControl w:val="0"/>
              <w:autoSpaceDE w:val="0"/>
              <w:autoSpaceDN w:val="0"/>
              <w:adjustRightInd w:val="0"/>
              <w:spacing w:line="276" w:lineRule="auto"/>
              <w:ind w:left="3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drawing>
                <wp:inline distT="0" distB="0" distL="0" distR="0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14:paraId="5B91A2B2">
            <w:pPr>
              <w:keepNext/>
              <w:spacing w:line="276" w:lineRule="auto"/>
              <w:ind w:left="-142"/>
              <w:jc w:val="center"/>
              <w:outlineLvl w:val="7"/>
              <w:rPr>
                <w:b/>
                <w:bCs/>
                <w:sz w:val="28"/>
                <w:szCs w:val="28"/>
                <w:lang w:eastAsia="en-US"/>
              </w:rPr>
            </w:pPr>
          </w:p>
          <w:p w14:paraId="11D7706B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Алтай  Республика</w:t>
            </w:r>
          </w:p>
          <w:p w14:paraId="4AB490E4">
            <w:pPr>
              <w:keepNext/>
              <w:spacing w:line="276" w:lineRule="auto"/>
              <w:ind w:left="-142"/>
              <w:jc w:val="center"/>
              <w:outlineLvl w:val="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Times New Roman Altai" w:hAnsi="Times New Roman Altai"/>
                <w:b/>
                <w:bCs/>
                <w:sz w:val="22"/>
                <w:szCs w:val="22"/>
                <w:lang w:eastAsia="en-US"/>
              </w:rPr>
              <w:t>К</w:t>
            </w:r>
            <w:r>
              <w:rPr>
                <w:b/>
                <w:bCs/>
                <w:sz w:val="22"/>
                <w:szCs w:val="22"/>
                <w:lang w:eastAsia="en-US"/>
              </w:rPr>
              <w:t>Ö</w:t>
            </w:r>
            <w:r>
              <w:rPr>
                <w:rFonts w:ascii="Times New Roman Altai" w:hAnsi="Times New Roman Altai"/>
                <w:b/>
                <w:bCs/>
                <w:sz w:val="22"/>
                <w:szCs w:val="22"/>
                <w:lang w:eastAsia="en-US"/>
              </w:rPr>
              <w:t>КСУУ-ООЗЫ АЙМАК</w:t>
            </w:r>
          </w:p>
          <w:p w14:paraId="72AA05BD">
            <w:pPr>
              <w:keepNext/>
              <w:spacing w:line="276" w:lineRule="auto"/>
              <w:jc w:val="center"/>
              <w:outlineLvl w:val="7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СООРУ  </w:t>
            </w:r>
            <w:r>
              <w:rPr>
                <w:b/>
                <w:bCs/>
                <w:sz w:val="22"/>
                <w:szCs w:val="22"/>
                <w:lang w:val="en-US" w:eastAsia="en-US"/>
              </w:rPr>
              <w:t>J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УРТ </w:t>
            </w:r>
          </w:p>
          <w:p w14:paraId="63E5A7F7">
            <w:pPr>
              <w:keepNext/>
              <w:spacing w:line="276" w:lineRule="auto"/>
              <w:jc w:val="center"/>
              <w:outlineLvl w:val="7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J</w:t>
            </w:r>
            <w:r>
              <w:rPr>
                <w:b/>
                <w:sz w:val="22"/>
                <w:szCs w:val="22"/>
                <w:lang w:eastAsia="en-US"/>
              </w:rPr>
              <w:t>ЕЗЕЕЗИНИН</w:t>
            </w:r>
          </w:p>
          <w:p w14:paraId="741F8449">
            <w:pPr>
              <w:keepNext/>
              <w:spacing w:line="276" w:lineRule="auto"/>
              <w:jc w:val="center"/>
              <w:outlineLvl w:val="7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АДМИНИСТРАЦИЯЗЫ</w:t>
            </w:r>
          </w:p>
        </w:tc>
      </w:tr>
    </w:tbl>
    <w:p w14:paraId="09C0DAA2">
      <w:pPr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b/>
          <w:bCs/>
          <w:sz w:val="22"/>
          <w:szCs w:val="22"/>
        </w:rPr>
        <w:t xml:space="preserve">                         </w:t>
      </w:r>
      <w:r>
        <w:rPr>
          <w:rFonts w:cs="Arial"/>
          <w:b/>
          <w:bCs/>
        </w:rPr>
        <w:t>649477  Усть-Коксинский район, с. Огнёвка, ул. Школьная 12</w:t>
      </w:r>
    </w:p>
    <w:p w14:paraId="0935E777">
      <w:pPr>
        <w:autoSpaceDE w:val="0"/>
        <w:autoSpaceDN w:val="0"/>
        <w:adjustRightInd w:val="0"/>
        <w:rPr>
          <w:rFonts w:cs="Arial"/>
          <w:b/>
          <w:bCs/>
          <w:lang w:eastAsia="en-US"/>
        </w:rPr>
      </w:pPr>
      <w:r>
        <w:rPr>
          <w:rFonts w:cs="Arial"/>
          <w:b/>
          <w:bCs/>
          <w:sz w:val="16"/>
          <w:szCs w:val="16"/>
          <w:lang w:eastAsia="en-US"/>
        </w:rPr>
        <w:t xml:space="preserve">                             </w:t>
      </w:r>
      <w:r>
        <w:rPr>
          <w:rFonts w:cs="Arial"/>
          <w:b/>
          <w:bCs/>
          <w:lang w:eastAsia="en-US"/>
        </w:rPr>
        <w:t xml:space="preserve">Тел. 8(38848) 21-4-67, факс: 8(38848) 21-3-80, </w:t>
      </w:r>
      <w:r>
        <w:rPr>
          <w:b/>
          <w:bCs/>
          <w:sz w:val="24"/>
          <w:szCs w:val="24"/>
          <w:lang w:eastAsia="en-US"/>
        </w:rPr>
        <w:t xml:space="preserve"> </w:t>
      </w:r>
      <w:r>
        <w:rPr>
          <w:b/>
          <w:bCs/>
          <w:sz w:val="24"/>
          <w:szCs w:val="24"/>
          <w:lang w:val="en-US" w:eastAsia="en-US"/>
        </w:rPr>
        <w:t>oghnievka</w:t>
      </w:r>
      <w:r>
        <w:rPr>
          <w:b/>
          <w:bCs/>
          <w:sz w:val="24"/>
          <w:szCs w:val="24"/>
          <w:lang w:eastAsia="en-US"/>
        </w:rPr>
        <w:t>@</w:t>
      </w:r>
      <w:r>
        <w:rPr>
          <w:b/>
          <w:bCs/>
          <w:sz w:val="24"/>
          <w:szCs w:val="24"/>
          <w:lang w:val="en-US" w:eastAsia="en-US"/>
        </w:rPr>
        <w:t>mail</w:t>
      </w:r>
      <w:r>
        <w:rPr>
          <w:b/>
          <w:bCs/>
          <w:sz w:val="24"/>
          <w:szCs w:val="24"/>
          <w:lang w:eastAsia="en-US"/>
        </w:rPr>
        <w:t>.</w:t>
      </w:r>
      <w:r>
        <w:rPr>
          <w:b/>
          <w:bCs/>
          <w:sz w:val="24"/>
          <w:szCs w:val="24"/>
          <w:lang w:val="en-US" w:eastAsia="en-US"/>
        </w:rPr>
        <w:t>ru</w:t>
      </w:r>
    </w:p>
    <w:p w14:paraId="675787CE">
      <w:pPr>
        <w:autoSpaceDE w:val="0"/>
        <w:autoSpaceDN w:val="0"/>
        <w:adjustRightInd w:val="0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_________________________________________________________________ </w:t>
      </w:r>
    </w:p>
    <w:p w14:paraId="76DB98EA">
      <w:pPr>
        <w:spacing w:line="276" w:lineRule="auto"/>
        <w:rPr>
          <w:b/>
          <w:sz w:val="24"/>
          <w:szCs w:val="24"/>
        </w:rPr>
      </w:pPr>
    </w:p>
    <w:p w14:paraId="2C01B036">
      <w:pPr>
        <w:jc w:val="center"/>
        <w:rPr>
          <w:rFonts w:eastAsia="Courier New"/>
          <w:b/>
          <w:sz w:val="28"/>
        </w:rPr>
      </w:pPr>
      <w:r>
        <w:rPr>
          <w:rFonts w:eastAsia="Courier New"/>
          <w:b/>
          <w:sz w:val="28"/>
        </w:rPr>
        <w:t>РАСПОРЯЖЕНИЕ</w:t>
      </w:r>
      <w:r>
        <w:rPr>
          <w:rFonts w:eastAsia="Courier New"/>
          <w:sz w:val="28"/>
        </w:rPr>
        <w:t xml:space="preserve">            </w:t>
      </w:r>
      <w:r>
        <w:rPr>
          <w:rFonts w:eastAsia="Courier New"/>
          <w:sz w:val="28"/>
          <w:lang w:val="ru-RU"/>
        </w:rPr>
        <w:t>проект</w:t>
      </w:r>
      <w:r>
        <w:rPr>
          <w:rFonts w:eastAsia="Courier New"/>
          <w:sz w:val="28"/>
        </w:rPr>
        <w:t xml:space="preserve">                                                        </w:t>
      </w:r>
      <w:r>
        <w:rPr>
          <w:rFonts w:eastAsia="Courier New"/>
          <w:b/>
          <w:sz w:val="28"/>
          <w:lang w:val="en-US"/>
        </w:rPr>
        <w:t>JAKAAH</w:t>
      </w:r>
    </w:p>
    <w:p w14:paraId="5510269A">
      <w:pPr>
        <w:jc w:val="center"/>
        <w:rPr>
          <w:rFonts w:eastAsia="Courier New"/>
          <w:b/>
          <w:sz w:val="16"/>
          <w:szCs w:val="16"/>
        </w:rPr>
      </w:pPr>
    </w:p>
    <w:p w14:paraId="53BEE3EF">
      <w:pPr>
        <w:spacing w:line="276" w:lineRule="auto"/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от  </w:t>
      </w:r>
      <w:r>
        <w:rPr>
          <w:rFonts w:hint="default"/>
          <w:sz w:val="28"/>
          <w:szCs w:val="28"/>
          <w:lang w:val="ru-RU"/>
        </w:rPr>
        <w:t>00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00</w:t>
      </w:r>
      <w:r>
        <w:rPr>
          <w:sz w:val="28"/>
          <w:szCs w:val="28"/>
        </w:rPr>
        <w:t>.202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 года                                      №</w:t>
      </w:r>
      <w:r>
        <w:rPr>
          <w:rFonts w:hint="default"/>
          <w:sz w:val="28"/>
          <w:szCs w:val="28"/>
          <w:lang w:val="ru-RU"/>
        </w:rPr>
        <w:t>00</w:t>
      </w:r>
    </w:p>
    <w:p w14:paraId="487C4486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Огневка</w:t>
      </w:r>
    </w:p>
    <w:p w14:paraId="4DAB2BA5">
      <w:pPr>
        <w:shd w:val="clear" w:color="auto" w:fill="FFFFFF"/>
        <w:spacing w:line="324" w:lineRule="exact"/>
        <w:ind w:right="-1"/>
        <w:rPr>
          <w:color w:val="000000"/>
          <w:spacing w:val="2"/>
          <w:sz w:val="28"/>
          <w:szCs w:val="28"/>
        </w:rPr>
      </w:pPr>
    </w:p>
    <w:p w14:paraId="3FCFF3DE">
      <w:pPr>
        <w:shd w:val="clear" w:color="auto" w:fill="FFFFFF"/>
        <w:spacing w:line="324" w:lineRule="exact"/>
        <w:ind w:right="-1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Об утверждении Программы профилактики рисков</w:t>
      </w:r>
    </w:p>
    <w:p w14:paraId="2D4FC0CC">
      <w:pPr>
        <w:shd w:val="clear" w:color="auto" w:fill="FFFFFF"/>
        <w:spacing w:line="324" w:lineRule="exact"/>
        <w:ind w:right="-1"/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причинения вреда (ущерба) охраняемым законом ценностям в рамках муниципального контроля в сфере благоустройства на территории Огневского сельского поселения на 202</w:t>
      </w:r>
      <w:r>
        <w:rPr>
          <w:rFonts w:hint="default"/>
          <w:b/>
          <w:color w:val="000000"/>
          <w:spacing w:val="2"/>
          <w:sz w:val="28"/>
          <w:szCs w:val="28"/>
          <w:lang w:val="ru-RU"/>
        </w:rPr>
        <w:t>6</w:t>
      </w:r>
      <w:r>
        <w:rPr>
          <w:b/>
          <w:color w:val="000000"/>
          <w:spacing w:val="2"/>
          <w:sz w:val="28"/>
          <w:szCs w:val="28"/>
        </w:rPr>
        <w:t xml:space="preserve"> год </w:t>
      </w:r>
    </w:p>
    <w:p w14:paraId="7859ACCA">
      <w:pPr>
        <w:shd w:val="clear" w:color="auto" w:fill="FFFFFF"/>
        <w:spacing w:line="324" w:lineRule="exact"/>
        <w:ind w:right="-1"/>
        <w:jc w:val="center"/>
        <w:rPr>
          <w:sz w:val="28"/>
          <w:szCs w:val="28"/>
        </w:rPr>
      </w:pPr>
    </w:p>
    <w:p w14:paraId="1DF58FA6">
      <w:pPr>
        <w:rPr>
          <w:sz w:val="28"/>
          <w:szCs w:val="28"/>
        </w:rPr>
      </w:pPr>
    </w:p>
    <w:p w14:paraId="1621ED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Постановлением Правительства РФ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Огневского сельского поселения </w:t>
      </w:r>
    </w:p>
    <w:p w14:paraId="48D83EFC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распоряжаюсь</w:t>
      </w:r>
      <w:r>
        <w:rPr>
          <w:b/>
          <w:sz w:val="28"/>
          <w:szCs w:val="28"/>
        </w:rPr>
        <w:t>:</w:t>
      </w:r>
    </w:p>
    <w:p w14:paraId="0B87A2B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ценностям в рамках муниципального контроля в сфере благоустройства на территории Огневского сельского поселения на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 согласно приложению к настоящему распоряжению.</w:t>
      </w:r>
    </w:p>
    <w:p w14:paraId="6C4431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распоряжение вступает в силу с момента официального обнародования на официальном сайте Огневского сельского поселения в информационно-телекоммуникационной сети «Интернет».</w:t>
      </w:r>
    </w:p>
    <w:p w14:paraId="30A3C074">
      <w:pPr>
        <w:ind w:firstLine="708"/>
        <w:jc w:val="both"/>
        <w:rPr>
          <w:sz w:val="28"/>
          <w:szCs w:val="28"/>
        </w:rPr>
      </w:pPr>
    </w:p>
    <w:p w14:paraId="3EA55512">
      <w:pPr>
        <w:rPr>
          <w:sz w:val="28"/>
          <w:szCs w:val="28"/>
        </w:rPr>
      </w:pPr>
    </w:p>
    <w:p w14:paraId="1857BB98">
      <w:pPr>
        <w:rPr>
          <w:sz w:val="28"/>
          <w:szCs w:val="28"/>
        </w:rPr>
      </w:pPr>
    </w:p>
    <w:p w14:paraId="6E25186D">
      <w:pPr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ИО</w:t>
      </w:r>
      <w:r>
        <w:rPr>
          <w:sz w:val="28"/>
          <w:szCs w:val="28"/>
        </w:rPr>
        <w:t xml:space="preserve"> Огневского сельского поселения                           </w:t>
      </w:r>
      <w:r>
        <w:rPr>
          <w:sz w:val="28"/>
          <w:szCs w:val="28"/>
          <w:lang w:val="ru-RU"/>
        </w:rPr>
        <w:t>Л</w:t>
      </w:r>
      <w:r>
        <w:rPr>
          <w:sz w:val="28"/>
          <w:szCs w:val="28"/>
        </w:rPr>
        <w:t>.В</w:t>
      </w:r>
      <w:r>
        <w:rPr>
          <w:rFonts w:hint="default"/>
          <w:sz w:val="28"/>
          <w:szCs w:val="28"/>
          <w:lang w:val="ru-RU"/>
        </w:rPr>
        <w:t>. Конопля</w:t>
      </w:r>
    </w:p>
    <w:p w14:paraId="25E161E0">
      <w:pPr>
        <w:jc w:val="right"/>
        <w:rPr>
          <w:sz w:val="26"/>
          <w:szCs w:val="26"/>
        </w:rPr>
      </w:pPr>
    </w:p>
    <w:p w14:paraId="78E522A3">
      <w:pPr>
        <w:jc w:val="right"/>
        <w:rPr>
          <w:sz w:val="26"/>
          <w:szCs w:val="26"/>
        </w:rPr>
      </w:pPr>
    </w:p>
    <w:p w14:paraId="0D24EB54">
      <w:pPr>
        <w:jc w:val="right"/>
        <w:rPr>
          <w:sz w:val="26"/>
          <w:szCs w:val="26"/>
        </w:rPr>
      </w:pPr>
    </w:p>
    <w:p w14:paraId="52B208E2">
      <w:pPr>
        <w:jc w:val="right"/>
        <w:rPr>
          <w:sz w:val="26"/>
          <w:szCs w:val="26"/>
        </w:rPr>
      </w:pPr>
    </w:p>
    <w:p w14:paraId="15793BAE">
      <w:pPr>
        <w:jc w:val="right"/>
        <w:rPr>
          <w:sz w:val="26"/>
          <w:szCs w:val="26"/>
        </w:rPr>
      </w:pPr>
    </w:p>
    <w:p w14:paraId="7E7AD9DD">
      <w:pPr>
        <w:jc w:val="right"/>
        <w:rPr>
          <w:sz w:val="26"/>
          <w:szCs w:val="26"/>
        </w:rPr>
      </w:pPr>
    </w:p>
    <w:p w14:paraId="22E07FB6">
      <w:pPr>
        <w:jc w:val="right"/>
        <w:rPr>
          <w:sz w:val="26"/>
          <w:szCs w:val="26"/>
        </w:rPr>
      </w:pPr>
      <w:r>
        <w:rPr>
          <w:sz w:val="26"/>
          <w:szCs w:val="26"/>
        </w:rPr>
        <w:t>Утверждена</w:t>
      </w:r>
    </w:p>
    <w:p w14:paraId="3246AA5D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распоряжением администрации </w:t>
      </w:r>
    </w:p>
    <w:p w14:paraId="30098E4F">
      <w:pPr>
        <w:jc w:val="right"/>
        <w:rPr>
          <w:sz w:val="26"/>
          <w:szCs w:val="26"/>
        </w:rPr>
      </w:pPr>
      <w:r>
        <w:rPr>
          <w:sz w:val="26"/>
          <w:szCs w:val="26"/>
        </w:rPr>
        <w:t>Огневского сельского поселения</w:t>
      </w:r>
    </w:p>
    <w:p w14:paraId="61732FD9">
      <w:pPr>
        <w:jc w:val="right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 xml:space="preserve">От </w:t>
      </w:r>
      <w:r>
        <w:rPr>
          <w:rFonts w:hint="default"/>
          <w:sz w:val="26"/>
          <w:szCs w:val="26"/>
          <w:lang w:val="ru-RU"/>
        </w:rPr>
        <w:t>00</w:t>
      </w:r>
      <w:r>
        <w:rPr>
          <w:sz w:val="26"/>
          <w:szCs w:val="26"/>
        </w:rPr>
        <w:t>.</w:t>
      </w:r>
      <w:r>
        <w:rPr>
          <w:rFonts w:hint="default"/>
          <w:sz w:val="26"/>
          <w:szCs w:val="26"/>
          <w:lang w:val="ru-RU"/>
        </w:rPr>
        <w:t>00</w:t>
      </w:r>
      <w:r>
        <w:rPr>
          <w:sz w:val="26"/>
          <w:szCs w:val="26"/>
        </w:rPr>
        <w:t>.202</w:t>
      </w:r>
      <w:r>
        <w:rPr>
          <w:rFonts w:hint="default"/>
          <w:sz w:val="26"/>
          <w:szCs w:val="26"/>
          <w:lang w:val="ru-RU"/>
        </w:rPr>
        <w:t>5</w:t>
      </w:r>
      <w:r>
        <w:rPr>
          <w:sz w:val="26"/>
          <w:szCs w:val="26"/>
        </w:rPr>
        <w:t xml:space="preserve"> г №</w:t>
      </w:r>
      <w:r>
        <w:rPr>
          <w:rFonts w:hint="default"/>
          <w:sz w:val="26"/>
          <w:szCs w:val="26"/>
          <w:lang w:val="ru-RU"/>
        </w:rPr>
        <w:t>00</w:t>
      </w:r>
    </w:p>
    <w:p w14:paraId="2CC9A339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153F5F72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14:paraId="2822387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Программа профилактики рисков причинения вреда (ущерба) </w:t>
      </w:r>
    </w:p>
    <w:p w14:paraId="2C2C6CB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охраняемым законом ценностям в рамках муниципального контроля </w:t>
      </w:r>
    </w:p>
    <w:p w14:paraId="02E6C34E">
      <w:pPr>
        <w:jc w:val="center"/>
        <w:rPr>
          <w:b/>
          <w:sz w:val="26"/>
          <w:szCs w:val="26"/>
          <w:highlight w:val="yellow"/>
        </w:rPr>
      </w:pPr>
      <w:r>
        <w:rPr>
          <w:b/>
          <w:sz w:val="26"/>
          <w:szCs w:val="26"/>
        </w:rPr>
        <w:t xml:space="preserve">в сфере благоустройства на территории Огневского сельского поселения </w:t>
      </w:r>
    </w:p>
    <w:p w14:paraId="27CA3EA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202</w:t>
      </w:r>
      <w:r>
        <w:rPr>
          <w:rFonts w:hint="default"/>
          <w:b/>
          <w:sz w:val="26"/>
          <w:szCs w:val="26"/>
          <w:lang w:val="ru-RU"/>
        </w:rPr>
        <w:t>6</w:t>
      </w:r>
      <w:r>
        <w:rPr>
          <w:b/>
          <w:sz w:val="26"/>
          <w:szCs w:val="26"/>
        </w:rPr>
        <w:t xml:space="preserve"> год </w:t>
      </w:r>
    </w:p>
    <w:p w14:paraId="06CCD7AF">
      <w:pPr>
        <w:spacing w:line="360" w:lineRule="auto"/>
        <w:rPr>
          <w:sz w:val="28"/>
          <w:szCs w:val="28"/>
        </w:rPr>
      </w:pPr>
      <w:r>
        <w:rPr>
          <w:sz w:val="26"/>
          <w:szCs w:val="26"/>
        </w:rPr>
        <w:tab/>
      </w:r>
      <w:r>
        <w:rPr>
          <w:sz w:val="28"/>
          <w:szCs w:val="28"/>
        </w:rPr>
        <w:t>Настоящая программа профилактики рисков причинения вреда (ущерба) охраняемым законом ценностям в рамках муниципального контроля в сфере благоустройства на территории Огневского сельского поселения на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год, разработана в целях организации проведения профилактики нарушений обязательных требований, оценка соблюдения которых является предметом муниципального контроля в части соблюдения требований, установленных Правилами благоустройства Огневского сельского поселения, утвержденными решением Совета депутатов Огневского сельского поселения 17.06.2013 №34-5 (далее – Правила благоустройства), и направлена на снижение рисков причинения вреда (ущерба) охраняемым законом ценностям.</w:t>
      </w:r>
    </w:p>
    <w:p w14:paraId="1C1BA72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 программы</w:t>
      </w:r>
    </w:p>
    <w:tbl>
      <w:tblPr>
        <w:tblStyle w:val="4"/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381"/>
        <w:gridCol w:w="6690"/>
      </w:tblGrid>
      <w:tr w14:paraId="6F916DC7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C0215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программы</w:t>
            </w:r>
          </w:p>
        </w:tc>
        <w:tc>
          <w:tcPr>
            <w:tcW w:w="6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FD7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Программа  профилактики рисков причинения вреда (ущерба) охраняемым законом ценностям в рамках муниципального контроля в сфере благоустройства на территории Огневского сельского поселения на 202</w:t>
            </w:r>
            <w:r>
              <w:rPr>
                <w:rFonts w:hint="default"/>
                <w:sz w:val="26"/>
                <w:szCs w:val="26"/>
                <w:lang w:val="ru-RU"/>
              </w:rPr>
              <w:t>6</w:t>
            </w:r>
            <w:r>
              <w:rPr>
                <w:sz w:val="26"/>
                <w:szCs w:val="26"/>
              </w:rPr>
              <w:t xml:space="preserve"> год </w:t>
            </w:r>
          </w:p>
          <w:p w14:paraId="03C0889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14:paraId="0DC11D3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B57B4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Разработчик программы</w:t>
            </w:r>
          </w:p>
        </w:tc>
        <w:tc>
          <w:tcPr>
            <w:tcW w:w="6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3E19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Огневского сельского поселения </w:t>
            </w:r>
          </w:p>
        </w:tc>
      </w:tr>
      <w:tr w14:paraId="53372CF5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A389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Исполнители программы</w:t>
            </w:r>
          </w:p>
        </w:tc>
        <w:tc>
          <w:tcPr>
            <w:tcW w:w="6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59D5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Администрация Огневского сельского поселения </w:t>
            </w:r>
          </w:p>
        </w:tc>
      </w:tr>
      <w:tr w14:paraId="6FA8F99B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F67D3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Участники  программы </w:t>
            </w:r>
          </w:p>
        </w:tc>
        <w:tc>
          <w:tcPr>
            <w:tcW w:w="6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78CB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14:paraId="7DC4556F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42AD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Цель(и)  программы</w:t>
            </w:r>
          </w:p>
        </w:tc>
        <w:tc>
          <w:tcPr>
            <w:tcW w:w="6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4D6676">
            <w:pPr>
              <w:pStyle w:val="9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предупреждение нарушений юридическими лицами и индивидуальными предпринимателями обязательных требований законодательства в сфере благоустройства;</w:t>
            </w:r>
          </w:p>
          <w:p w14:paraId="6306EC84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</w:rPr>
              <w:t>предотвращение риска причинения вреда и снижение уровня ущерба охраняемым законом ценностям вследствие нарушений требований, установленных законодательством в сфере благоустройства.</w:t>
            </w:r>
          </w:p>
        </w:tc>
      </w:tr>
      <w:tr w14:paraId="21A483EE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0CD4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Задача(и)  программы</w:t>
            </w:r>
          </w:p>
        </w:tc>
        <w:tc>
          <w:tcPr>
            <w:tcW w:w="6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802D3">
            <w:pPr>
              <w:pStyle w:val="9"/>
              <w:ind w:firstLine="709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выявление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      </w:r>
          </w:p>
          <w:p w14:paraId="30A0257F">
            <w:pPr>
              <w:pStyle w:val="9"/>
              <w:ind w:firstLine="709"/>
              <w:jc w:val="both"/>
              <w:rPr>
                <w:rFonts w:ascii="Times New Roman" w:hAnsi="Times New Roman" w:cs="Times New Roman"/>
                <w:b w:val="0"/>
                <w:sz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устранение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      </w:r>
          </w:p>
          <w:p w14:paraId="00758A1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</w:rPr>
              <w:t>повышение правосознания и правовой культуры подконтрольных субъектов</w:t>
            </w:r>
          </w:p>
        </w:tc>
      </w:tr>
      <w:tr w14:paraId="4EEB302A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DD2CB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Сроки и (или) этапы реализации  программы</w:t>
            </w:r>
          </w:p>
        </w:tc>
        <w:tc>
          <w:tcPr>
            <w:tcW w:w="6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8899F">
            <w:pPr>
              <w:pStyle w:val="9"/>
              <w:spacing w:line="360" w:lineRule="auto"/>
              <w:ind w:firstLine="709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sz w:val="26"/>
              </w:rPr>
              <w:t>Срок реализации программы: с 01 января 202</w:t>
            </w:r>
            <w:r>
              <w:rPr>
                <w:rFonts w:hint="default" w:ascii="Times New Roman" w:hAnsi="Times New Roman" w:cs="Times New Roman"/>
                <w:b w:val="0"/>
                <w:sz w:val="26"/>
                <w:lang w:val="ru-RU"/>
              </w:rPr>
              <w:t>6</w:t>
            </w:r>
            <w:r>
              <w:rPr>
                <w:rFonts w:ascii="Times New Roman" w:hAnsi="Times New Roman" w:cs="Times New Roman"/>
                <w:b w:val="0"/>
                <w:sz w:val="26"/>
              </w:rPr>
              <w:t xml:space="preserve"> года по 31 декабря 202</w:t>
            </w:r>
            <w:r>
              <w:rPr>
                <w:rFonts w:hint="default" w:ascii="Times New Roman" w:hAnsi="Times New Roman" w:cs="Times New Roman"/>
                <w:b w:val="0"/>
                <w:sz w:val="26"/>
                <w:lang w:val="ru-RU"/>
              </w:rPr>
              <w:t>6</w:t>
            </w:r>
            <w:r>
              <w:rPr>
                <w:rFonts w:ascii="Times New Roman" w:hAnsi="Times New Roman" w:cs="Times New Roman"/>
                <w:b w:val="0"/>
                <w:sz w:val="26"/>
              </w:rPr>
              <w:t xml:space="preserve"> года.</w:t>
            </w:r>
          </w:p>
        </w:tc>
      </w:tr>
      <w:tr w14:paraId="75DF4939">
        <w:tblPrEx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5303E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программы</w:t>
            </w:r>
          </w:p>
        </w:tc>
        <w:tc>
          <w:tcPr>
            <w:tcW w:w="6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DF1DED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уровня понимания юридическими лицами, индивидуальными предпринимателями, гражданами обязательных требований, требований, установленных муниципальными правовыми актами;</w:t>
            </w:r>
          </w:p>
          <w:p w14:paraId="40282B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Снижение рисков причинения вреда охраняемым законом ценностям;</w:t>
            </w:r>
          </w:p>
          <w:p w14:paraId="7A38C9B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законопослушных подконтрольных субъектов;</w:t>
            </w:r>
          </w:p>
          <w:p w14:paraId="45A38B5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Развитие системы профилактических мероприятий контрольного органа;</w:t>
            </w:r>
          </w:p>
          <w:p w14:paraId="7D86C87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Обеспечение квалифицированной профилактической работы должностных лиц контрольного органа;</w:t>
            </w:r>
          </w:p>
          <w:p w14:paraId="645FB37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Повышение прозрачности деятельности контрольного органа</w:t>
            </w:r>
          </w:p>
        </w:tc>
      </w:tr>
    </w:tbl>
    <w:p w14:paraId="615F8854">
      <w:pPr>
        <w:jc w:val="center"/>
        <w:rPr>
          <w:sz w:val="26"/>
          <w:szCs w:val="26"/>
        </w:rPr>
      </w:pPr>
    </w:p>
    <w:p w14:paraId="732FD541">
      <w:pPr>
        <w:numPr>
          <w:ilvl w:val="0"/>
          <w:numId w:val="1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Анализ текущего состояния муниципального контроля в сфере благоустройства, описание текущего развития профилактической деятельности органа муниципального контроля в сфере благоустройства и характеристика проблем, на решение которых направлена Программа</w:t>
      </w:r>
    </w:p>
    <w:p w14:paraId="6C1E8313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Предметом муниципального контроля в сфере благоустройства является соблюдение Правил благоустройства Огневского сельского поселения, утвержденных решением Совета депутатов Огневского сельского поселения от 17.06.2013 года № 34-5, в том числе требований к обеспечению доступности для инвалидов объектов социальной, инженерной и транспортной инфраструктур и предоставляемых услуг. Функции по муниципальному контролю в сфере благоустройства осуществляются администрацией Огневского сельского поселения.</w:t>
      </w:r>
    </w:p>
    <w:p w14:paraId="73A0B2AC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Органом муниципального контроля в сфере благоустройства по вопросам соблюдения Правил благоустройства является администрация Огневского сельского поселения.</w:t>
      </w:r>
    </w:p>
    <w:p w14:paraId="5D2762FD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Муниципальный контроль в сфере благоустройства осуществляется в  соответствии с требованиями Федерального закона от 31 июля 2020 года № 248-ФЗ «О государственном контроле (надзоре) и муниципальном контроле в Российской Федерации» (с изменениями) (далее – Закон № 248-ФЗ).</w:t>
      </w:r>
    </w:p>
    <w:p w14:paraId="75461786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Муниципальный контроль в сфере благоустройства осуществляется в отношении граждан и организаций:</w:t>
      </w:r>
    </w:p>
    <w:p w14:paraId="2E9AE4EA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которым, объекты благоустройства (их элементы), здания (включая жилые дома), строения, сооружения (включая некапитальные строения, сооружения) и (или) земельные участки, на которых они расположены в границах Огневского сельского поселения, принадлежат на соответствующем праве;</w:t>
      </w:r>
    </w:p>
    <w:p w14:paraId="2F716AA3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осуществляющих строительство, ремонтные работы, земляные работы;</w:t>
      </w:r>
    </w:p>
    <w:p w14:paraId="0912A996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являющихся собственниками сетей инженерно-технического обеспечения</w:t>
      </w:r>
    </w:p>
    <w:p w14:paraId="2D7B8DE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и направлен на достижение результатов, связанных с минимизацией риска причинения вреда (ущерба) охраняемым законом ценностям, вызванного нарушениями требований Правил благоустройства (далее - контролируемые лица).  </w:t>
      </w:r>
    </w:p>
    <w:p w14:paraId="782801B7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Подконтрольными субъектами являются граждане, юридические лица и индивидуальные предприниматели, осуществляющие деятельность на территории Огневского сельского поселения. По состоянию на сентябрь 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года на территории Огневского сельского поселения подконтрольными субъектами являются ориентировочно около 8  юридических лиц и более 8  индивидуальных предпринимателей.  </w:t>
      </w:r>
    </w:p>
    <w:p w14:paraId="392E1255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Объектами муниципального контроля в сфере благоустройства являются территории различного функционального назначения, на которых осуществляется деятельность по благоустройству с расположенными на них элементами благоустройства и озеленения, а также здания, строения, сооружения (включая некапитальные строения, сооружения), находящиеся в границах Огневского сельского поселения.</w:t>
      </w:r>
    </w:p>
    <w:p w14:paraId="04FB22D3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За административные правонарушения в сфере благоустройства иных населенных пунктов предусмотрена административная ответственность.       </w:t>
      </w:r>
    </w:p>
    <w:p w14:paraId="06B97717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В результате проведенного анализа установлены типичные нарушения, требований Правил благоустройства (по количеству выявленных нарушений):</w:t>
      </w:r>
    </w:p>
    <w:p w14:paraId="60822EFE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нарушение требований к содержанию территорий (несвоевременная уборка, покос).</w:t>
      </w:r>
    </w:p>
    <w:p w14:paraId="0C6CD277">
      <w:pPr>
        <w:numPr>
          <w:ilvl w:val="0"/>
          <w:numId w:val="1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Цели и задачи реализации программы профилактики </w:t>
      </w:r>
    </w:p>
    <w:p w14:paraId="7C1DB9CE">
      <w:pPr>
        <w:spacing w:line="360" w:lineRule="auto"/>
        <w:ind w:left="1429" w:hanging="720"/>
        <w:rPr>
          <w:sz w:val="28"/>
          <w:szCs w:val="28"/>
        </w:rPr>
      </w:pPr>
      <w:r>
        <w:rPr>
          <w:sz w:val="28"/>
          <w:szCs w:val="28"/>
        </w:rPr>
        <w:t>Цели программы профилактики:</w:t>
      </w:r>
    </w:p>
    <w:p w14:paraId="6D497AC4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предупреждение нарушений гражданами, юридическими лицами и индивидуальными предпринимателями обязательных требований законодательства в части соблюдения требований, установленных Правилами благоустройства;</w:t>
      </w:r>
    </w:p>
    <w:p w14:paraId="41B58A3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предотвращение риска причинения вреда и снижение уровня ущерба охраняемым законом ценностям вследствие нарушений требований, установленных законодательством в сфере благоустройства.</w:t>
      </w:r>
    </w:p>
    <w:p w14:paraId="56995BB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рамках достижения поставленных целей предусматривается решение следующих задач:</w:t>
      </w:r>
    </w:p>
    <w:p w14:paraId="65CCA846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выявление причин, факторов и условий, способствующих причинению вреда охраняемым законом ценностям и нарушению обязательных требований, определение способов устранения или снижения рисков их возникновения;</w:t>
      </w:r>
    </w:p>
    <w:p w14:paraId="25E2CD43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устранение причин, факторов и условий, способствующих возможному причинению вреда охраняемым законом ценностям и нарушению обязательных требований;</w:t>
      </w:r>
    </w:p>
    <w:p w14:paraId="4A880938">
      <w:pPr>
        <w:spacing w:line="360" w:lineRule="auto"/>
        <w:ind w:left="1429" w:hanging="720"/>
        <w:rPr>
          <w:sz w:val="28"/>
          <w:szCs w:val="28"/>
        </w:rPr>
      </w:pPr>
      <w:r>
        <w:rPr>
          <w:sz w:val="28"/>
          <w:szCs w:val="28"/>
        </w:rPr>
        <w:t>повышение правосознания и правовой культуры подконтрольных субъектов.</w:t>
      </w:r>
    </w:p>
    <w:p w14:paraId="56EBDEB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8EC2582">
      <w:pPr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Сроки и этапы реализации программы</w:t>
      </w:r>
    </w:p>
    <w:p w14:paraId="14D377F0">
      <w:pPr>
        <w:spacing w:line="360" w:lineRule="auto"/>
        <w:ind w:left="709" w:hanging="720"/>
        <w:rPr>
          <w:sz w:val="28"/>
          <w:szCs w:val="28"/>
        </w:rPr>
      </w:pPr>
      <w:r>
        <w:rPr>
          <w:sz w:val="28"/>
          <w:szCs w:val="28"/>
        </w:rPr>
        <w:t>Срок реализации программы: с 01 января 202</w:t>
      </w:r>
      <w:r>
        <w:rPr>
          <w:rFonts w:hint="default"/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года по 31 декабря 202</w:t>
      </w:r>
      <w:r>
        <w:rPr>
          <w:rFonts w:hint="default"/>
          <w:sz w:val="28"/>
          <w:szCs w:val="28"/>
          <w:lang w:val="ru-RU"/>
        </w:rPr>
        <w:t xml:space="preserve">6 </w:t>
      </w:r>
      <w:r>
        <w:rPr>
          <w:sz w:val="28"/>
          <w:szCs w:val="28"/>
        </w:rPr>
        <w:t>года.</w:t>
      </w:r>
    </w:p>
    <w:p w14:paraId="5C3DBA33">
      <w:pPr>
        <w:numPr>
          <w:ilvl w:val="0"/>
          <w:numId w:val="1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Источники финансирования</w:t>
      </w:r>
    </w:p>
    <w:p w14:paraId="4AEED483">
      <w:pPr>
        <w:spacing w:line="360" w:lineRule="auto"/>
        <w:ind w:left="1429" w:hanging="720"/>
        <w:rPr>
          <w:sz w:val="28"/>
          <w:szCs w:val="28"/>
        </w:rPr>
      </w:pPr>
      <w:r>
        <w:rPr>
          <w:sz w:val="28"/>
          <w:szCs w:val="28"/>
        </w:rPr>
        <w:t>Для реализации программы финансирование не предусмотрено.</w:t>
      </w:r>
    </w:p>
    <w:p w14:paraId="2AFDB669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профилактических мероприятий, сроки (периодичность) их проведения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785"/>
        <w:gridCol w:w="2268"/>
        <w:gridCol w:w="2410"/>
      </w:tblGrid>
      <w:tr w14:paraId="28149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2A01F3EE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710720E4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785" w:type="dxa"/>
            <w:shd w:val="clear" w:color="auto" w:fill="auto"/>
          </w:tcPr>
          <w:p w14:paraId="4219ED9F"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</w:tcPr>
          <w:p w14:paraId="12F8728D"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410" w:type="dxa"/>
            <w:shd w:val="clear" w:color="auto" w:fill="auto"/>
          </w:tcPr>
          <w:p w14:paraId="0F7DA498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14:paraId="664AE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4"/>
            <w:shd w:val="clear" w:color="auto" w:fill="auto"/>
          </w:tcPr>
          <w:p w14:paraId="41475B1F"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Информирование</w:t>
            </w:r>
          </w:p>
        </w:tc>
      </w:tr>
      <w:tr w14:paraId="4C9AF6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4"/>
            <w:shd w:val="clear" w:color="auto" w:fill="auto"/>
          </w:tcPr>
          <w:p w14:paraId="2BD6AB8A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Актуализация и размещение в сети «Интернет» на официальном сайте Огневского сельского поселения:</w:t>
            </w:r>
          </w:p>
          <w:p w14:paraId="425B37B7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658D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3762D536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3785" w:type="dxa"/>
            <w:shd w:val="clear" w:color="auto" w:fill="auto"/>
          </w:tcPr>
          <w:p w14:paraId="0A64DAD2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</w:t>
            </w:r>
          </w:p>
        </w:tc>
        <w:tc>
          <w:tcPr>
            <w:tcW w:w="2268" w:type="dxa"/>
            <w:shd w:val="clear" w:color="auto" w:fill="auto"/>
          </w:tcPr>
          <w:p w14:paraId="6861A350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117FF2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До 01.01.202</w:t>
            </w:r>
            <w:r>
              <w:rPr>
                <w:rFonts w:hint="default"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6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года</w:t>
            </w:r>
          </w:p>
          <w:p w14:paraId="6ED6F66E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5D038C9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C678D"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ИО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главы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</w:t>
            </w:r>
          </w:p>
        </w:tc>
      </w:tr>
      <w:tr w14:paraId="12153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14365394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auto"/>
          </w:tcPr>
          <w:p w14:paraId="1F2A9A33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    </w:r>
          </w:p>
          <w:p w14:paraId="04B8CDFD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3C6AEA3E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5 рабочих дней с момента изменения действующего законодательства</w:t>
            </w:r>
          </w:p>
          <w:p w14:paraId="43E385A6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3816F80B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30F5A"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ИО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главы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</w:t>
            </w:r>
          </w:p>
        </w:tc>
      </w:tr>
      <w:tr w14:paraId="12E80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2C1B2B08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3785" w:type="dxa"/>
            <w:shd w:val="clear" w:color="auto" w:fill="auto"/>
          </w:tcPr>
          <w:p w14:paraId="50D2A2DD">
            <w:pPr>
              <w:ind w:firstLine="5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  <w:p w14:paraId="4010CDFA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74078F46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До 01.01.202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года</w:t>
            </w:r>
          </w:p>
        </w:tc>
        <w:tc>
          <w:tcPr>
            <w:tcW w:w="2410" w:type="dxa"/>
            <w:shd w:val="clear" w:color="auto" w:fill="auto"/>
          </w:tcPr>
          <w:p w14:paraId="6654F223"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32231"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ИО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главы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</w:t>
            </w:r>
          </w:p>
        </w:tc>
      </w:tr>
      <w:tr w14:paraId="4F7FF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4B8EAC65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1.2</w:t>
            </w:r>
          </w:p>
        </w:tc>
        <w:tc>
          <w:tcPr>
            <w:tcW w:w="3785" w:type="dxa"/>
            <w:shd w:val="clear" w:color="auto" w:fill="auto"/>
          </w:tcPr>
          <w:p w14:paraId="7991C770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материалов, информационных писем, руководств по соблюдению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14:paraId="26840975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течении года по мере необходимости</w:t>
            </w:r>
          </w:p>
        </w:tc>
        <w:tc>
          <w:tcPr>
            <w:tcW w:w="2410" w:type="dxa"/>
            <w:shd w:val="clear" w:color="auto" w:fill="auto"/>
          </w:tcPr>
          <w:p w14:paraId="1E7C9713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14:paraId="250C8F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775FD223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1.3</w:t>
            </w:r>
          </w:p>
        </w:tc>
        <w:tc>
          <w:tcPr>
            <w:tcW w:w="3785" w:type="dxa"/>
            <w:shd w:val="clear" w:color="auto" w:fill="auto"/>
          </w:tcPr>
          <w:p w14:paraId="7AEF5E69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перечня индикаторов риска нарушения обязательных требований</w:t>
            </w:r>
          </w:p>
        </w:tc>
        <w:tc>
          <w:tcPr>
            <w:tcW w:w="2268" w:type="dxa"/>
            <w:shd w:val="clear" w:color="auto" w:fill="auto"/>
          </w:tcPr>
          <w:p w14:paraId="63A8CA8C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10 рабочих дней после их утверждения</w:t>
            </w:r>
          </w:p>
          <w:p w14:paraId="2DE6E9A2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8B943A5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14:paraId="49382F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69383F37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1.4</w:t>
            </w:r>
          </w:p>
        </w:tc>
        <w:tc>
          <w:tcPr>
            <w:tcW w:w="3785" w:type="dxa"/>
            <w:shd w:val="clear" w:color="auto" w:fill="auto"/>
          </w:tcPr>
          <w:p w14:paraId="76694940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программы профилактики рисков причинения вреда (ущерба) охраняемым законом ценностям</w:t>
            </w:r>
          </w:p>
        </w:tc>
        <w:tc>
          <w:tcPr>
            <w:tcW w:w="2268" w:type="dxa"/>
            <w:shd w:val="clear" w:color="auto" w:fill="auto"/>
          </w:tcPr>
          <w:p w14:paraId="32FEE3D4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Не позднее 25 декабря предшествующего года</w:t>
            </w:r>
          </w:p>
        </w:tc>
        <w:tc>
          <w:tcPr>
            <w:tcW w:w="2410" w:type="dxa"/>
            <w:shd w:val="clear" w:color="auto" w:fill="auto"/>
          </w:tcPr>
          <w:p w14:paraId="6A62E420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14:paraId="3CA6D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9" w:type="dxa"/>
            <w:gridSpan w:val="4"/>
            <w:shd w:val="clear" w:color="auto" w:fill="auto"/>
          </w:tcPr>
          <w:p w14:paraId="05F4EDE5"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Консультирование</w:t>
            </w:r>
          </w:p>
        </w:tc>
      </w:tr>
      <w:tr w14:paraId="352A9F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65112DB5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2.1.</w:t>
            </w:r>
          </w:p>
        </w:tc>
        <w:tc>
          <w:tcPr>
            <w:tcW w:w="3785" w:type="dxa"/>
            <w:shd w:val="clear" w:color="auto" w:fill="auto"/>
          </w:tcPr>
          <w:p w14:paraId="58C1F3A3">
            <w:pPr>
              <w:pStyle w:val="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Проведение консультаций по вопросам соблюдения обязательных требований, требований, установленных муниципальными правовыми актами в сфере благоустройства:</w:t>
            </w:r>
          </w:p>
          <w:p w14:paraId="4C621FB7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1) организация и осуществление контроля в сфере благоустройства;</w:t>
            </w:r>
          </w:p>
          <w:p w14:paraId="0925E2F1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2) порядок осуществления контрольных мероприятий, установленных настоящим Положением;</w:t>
            </w:r>
          </w:p>
          <w:p w14:paraId="11DFEC14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3) порядок обжалования действий (бездействия) должностных лиц, уполномоченных осуществлять контроль;</w:t>
            </w:r>
          </w:p>
          <w:p w14:paraId="07409B0A">
            <w:pPr>
              <w:pStyle w:val="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      </w:r>
          </w:p>
          <w:p w14:paraId="00F66D90">
            <w:pPr>
              <w:pStyle w:val="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48F9D583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07DB375B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78E3A1C6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 по обращениям контролируемых лиц и их представителей</w:t>
            </w:r>
          </w:p>
          <w:p w14:paraId="3CD75071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устной и письменной форме</w:t>
            </w:r>
          </w:p>
        </w:tc>
        <w:tc>
          <w:tcPr>
            <w:tcW w:w="2410" w:type="dxa"/>
            <w:shd w:val="clear" w:color="auto" w:fill="auto"/>
          </w:tcPr>
          <w:p w14:paraId="562BB838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ИО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главы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поселения,  </w:t>
            </w:r>
          </w:p>
          <w:p w14:paraId="12BD5867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14:paraId="51D7D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3C62E728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2.2.</w:t>
            </w:r>
          </w:p>
        </w:tc>
        <w:tc>
          <w:tcPr>
            <w:tcW w:w="3785" w:type="dxa"/>
            <w:shd w:val="clear" w:color="auto" w:fill="auto"/>
          </w:tcPr>
          <w:p w14:paraId="48D6B275">
            <w:pPr>
              <w:pStyle w:val="9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Размещение на сайте Огневского сельского поселения в сети «Интернет» письменных разъяс-нений по однотипным обращениям</w:t>
            </w:r>
          </w:p>
        </w:tc>
        <w:tc>
          <w:tcPr>
            <w:tcW w:w="2268" w:type="dxa"/>
            <w:shd w:val="clear" w:color="auto" w:fill="auto"/>
          </w:tcPr>
          <w:p w14:paraId="713688ED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1C74D7A4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41071CF8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shd w:val="clear" w:color="auto" w:fill="auto"/>
          </w:tcPr>
          <w:p w14:paraId="45B99A50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ИО</w:t>
            </w: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главы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поселения,  </w:t>
            </w:r>
          </w:p>
          <w:p w14:paraId="6D2D66C1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  <w:tr w14:paraId="06289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6" w:type="dxa"/>
            <w:shd w:val="clear" w:color="auto" w:fill="auto"/>
          </w:tcPr>
          <w:p w14:paraId="6FD91EDD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3785" w:type="dxa"/>
            <w:shd w:val="clear" w:color="auto" w:fill="auto"/>
          </w:tcPr>
          <w:p w14:paraId="6196401F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4DCE1EEE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2F200B81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</w:t>
            </w:r>
          </w:p>
        </w:tc>
        <w:tc>
          <w:tcPr>
            <w:tcW w:w="2268" w:type="dxa"/>
            <w:shd w:val="clear" w:color="auto" w:fill="auto"/>
          </w:tcPr>
          <w:p w14:paraId="6097BA11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1C297F78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4441C088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года,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не позднее 30 дней со дня получения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</w:t>
            </w:r>
          </w:p>
          <w:p w14:paraId="3E2339EF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14:paraId="0FFEEBE8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sz w:val="24"/>
                <w:szCs w:val="24"/>
                <w:lang w:val="ru-RU"/>
              </w:rPr>
              <w:t xml:space="preserve"> ИО г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  <w:t>ы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поселения,  </w:t>
            </w:r>
          </w:p>
          <w:p w14:paraId="17714332">
            <w:pPr>
              <w:pStyle w:val="9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ведущий специалист</w:t>
            </w:r>
          </w:p>
        </w:tc>
      </w:tr>
    </w:tbl>
    <w:p w14:paraId="3FCEEADC">
      <w:pPr>
        <w:pStyle w:val="9"/>
        <w:numPr>
          <w:ilvl w:val="0"/>
          <w:numId w:val="1"/>
        </w:numPr>
        <w:jc w:val="center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Показатели результативности и эффективности программы профилактики</w:t>
      </w:r>
    </w:p>
    <w:p w14:paraId="4DDFB315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Оценка эффективности программы, соблюдение которой оценивается администрацией Огневского сельского поселения при проведении мероприятий  по осуществлению контроля и профилактике нарушений обязательных требований в 202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году, проводится по итогам работы за год.</w:t>
      </w:r>
    </w:p>
    <w:p w14:paraId="310D0977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Целевые показатели результативности мероприятий и ожидаемый результат по реализации Программы оцениваются по следующим показателям:</w:t>
      </w:r>
    </w:p>
    <w:p w14:paraId="74916031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Целевые показатели эффективности:</w:t>
      </w:r>
    </w:p>
    <w:p w14:paraId="5FDC31F1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увеличение доли субъектов (граждан и организаций), устранивших нарушения, выявленные в результате проведения контрольно-надзорных мероприятий по сравнению с предыдущим годом.</w:t>
      </w:r>
    </w:p>
    <w:p w14:paraId="7299D248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увеличение количества выданных предостережений о недопустимости нарушения обязательных требований по сравнению с предыдущим годом.</w:t>
      </w:r>
    </w:p>
    <w:p w14:paraId="1B68061C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Оценка эффективности Программы на 202</w:t>
      </w:r>
      <w:r>
        <w:rPr>
          <w:rFonts w:hint="default" w:ascii="Times New Roman" w:hAnsi="Times New Roman" w:cs="Times New Roman"/>
          <w:b w:val="0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 проводится по итогам работы за отч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тный год, пут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м следующего расч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та: </w:t>
      </w:r>
    </w:p>
    <w:p w14:paraId="6D891714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увеличение доли субъектов (граждан и организаций), устранивших нарушения, выявленные в результате проведения контрольно-надзорных мероприятий. Показатель рассчитывается как отношение количества субъектов, устранивших нарушения в отч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тном году, к количеству  субъектов, допустивших нарушения в отч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тном году и сравнивается с данными предыдущего года.</w:t>
      </w:r>
    </w:p>
    <w:p w14:paraId="1D7BACE3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увеличение количества выданных предостережений о недопустимости нарушения обязательных требований к общему количеству обследований. Показатель рассчитывается  как отношение количества выданных предостережений в отч</w:t>
      </w:r>
      <w:r>
        <w:rPr>
          <w:rFonts w:ascii="Times New Roman" w:hAnsi="Times New Roman" w:cs="Times New Roman"/>
          <w:b w:val="0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b w:val="0"/>
          <w:sz w:val="28"/>
          <w:szCs w:val="28"/>
        </w:rPr>
        <w:t>тном году к общему количеству обследований и к уровню предыдущего года.</w:t>
      </w:r>
    </w:p>
    <w:p w14:paraId="63B87D89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Ожидаемый результат от реализации Программы:</w:t>
      </w:r>
    </w:p>
    <w:p w14:paraId="4085EBF1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уменьшение административной нагрузки на субъекты в рамках муниципального контроля;</w:t>
      </w:r>
    </w:p>
    <w:p w14:paraId="58D53E46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сокращение количества выявленных нарушений обязательных требований в рамках муниципального контроля;</w:t>
      </w:r>
    </w:p>
    <w:p w14:paraId="2F5A9270">
      <w:pPr>
        <w:pStyle w:val="9"/>
        <w:spacing w:line="360" w:lineRule="auto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увеличение количества субъектов, исполнивших предостережения о недопустимости нарушений обязательных требований.</w:t>
      </w:r>
    </w:p>
    <w:p w14:paraId="6E0ECB96">
      <w:pPr>
        <w:spacing w:line="336" w:lineRule="auto"/>
        <w:ind w:firstLine="709"/>
        <w:rPr>
          <w:sz w:val="28"/>
          <w:szCs w:val="28"/>
        </w:rPr>
      </w:pPr>
    </w:p>
    <w:p w14:paraId="0CE9EFE4">
      <w:pPr>
        <w:rPr>
          <w:sz w:val="28"/>
          <w:szCs w:val="28"/>
        </w:rPr>
      </w:pPr>
    </w:p>
    <w:p w14:paraId="7F5F096C">
      <w:pPr>
        <w:rPr>
          <w:sz w:val="28"/>
          <w:szCs w:val="28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es New Roman Altai">
    <w:altName w:val="Times New Roman"/>
    <w:panose1 w:val="00000000000000000000"/>
    <w:charset w:val="00"/>
    <w:family w:val="roman"/>
    <w:pitch w:val="default"/>
    <w:sig w:usb0="00000000" w:usb1="00000000" w:usb2="00000000" w:usb3="00000000" w:csb0="00000005" w:csb1="00000000"/>
  </w:font>
  <w:font w:name="PT Astra Serif">
    <w:altName w:val="Times New Roman"/>
    <w:panose1 w:val="00000000000000000000"/>
    <w:charset w:val="CC"/>
    <w:family w:val="roman"/>
    <w:pitch w:val="default"/>
    <w:sig w:usb0="00000000" w:usb1="00000000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C4DF4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DC41E">
    <w:pPr>
      <w:pStyle w:val="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CC8D1"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9ED3C9">
    <w:pPr>
      <w:pStyle w:val="6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  <w:p w14:paraId="04098A2A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20DDF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9849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258FB"/>
    <w:multiLevelType w:val="multilevel"/>
    <w:tmpl w:val="130258FB"/>
    <w:lvl w:ilvl="0" w:tentative="0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3D3"/>
    <w:rsid w:val="00001111"/>
    <w:rsid w:val="0000146C"/>
    <w:rsid w:val="000B5B2E"/>
    <w:rsid w:val="0018143A"/>
    <w:rsid w:val="001C5A20"/>
    <w:rsid w:val="00214D9F"/>
    <w:rsid w:val="00300CFB"/>
    <w:rsid w:val="00335685"/>
    <w:rsid w:val="003459FE"/>
    <w:rsid w:val="00396898"/>
    <w:rsid w:val="00456DF1"/>
    <w:rsid w:val="004C3C37"/>
    <w:rsid w:val="00570ABD"/>
    <w:rsid w:val="0062035E"/>
    <w:rsid w:val="007D2948"/>
    <w:rsid w:val="009148A3"/>
    <w:rsid w:val="00A36321"/>
    <w:rsid w:val="00AC0126"/>
    <w:rsid w:val="00AE5FFB"/>
    <w:rsid w:val="00B363D3"/>
    <w:rsid w:val="00B54B1E"/>
    <w:rsid w:val="00CE089B"/>
    <w:rsid w:val="00D028DE"/>
    <w:rsid w:val="00E25EF0"/>
    <w:rsid w:val="00EC04C1"/>
    <w:rsid w:val="00FA5EEF"/>
    <w:rsid w:val="00FA7AB3"/>
    <w:rsid w:val="49183114"/>
    <w:rsid w:val="7CEE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styleId="2">
    <w:name w:val="heading 3"/>
    <w:basedOn w:val="1"/>
    <w:next w:val="1"/>
    <w:link w:val="8"/>
    <w:qFormat/>
    <w:uiPriority w:val="0"/>
    <w:pPr>
      <w:keepNext/>
      <w:jc w:val="center"/>
      <w:outlineLvl w:val="2"/>
    </w:pPr>
    <w:rPr>
      <w:b/>
      <w:sz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qFormat/>
    <w:uiPriority w:val="99"/>
    <w:pPr>
      <w:tabs>
        <w:tab w:val="center" w:pos="4677"/>
        <w:tab w:val="right" w:pos="9355"/>
      </w:tabs>
    </w:pPr>
  </w:style>
  <w:style w:type="paragraph" w:styleId="7">
    <w:name w:val="footer"/>
    <w:basedOn w:val="1"/>
    <w:link w:val="11"/>
    <w:uiPriority w:val="0"/>
    <w:pPr>
      <w:tabs>
        <w:tab w:val="center" w:pos="4677"/>
        <w:tab w:val="right" w:pos="9355"/>
      </w:tabs>
    </w:pPr>
  </w:style>
  <w:style w:type="character" w:customStyle="1" w:styleId="8">
    <w:name w:val="Заголовок 3 Знак"/>
    <w:basedOn w:val="3"/>
    <w:link w:val="2"/>
    <w:uiPriority w:val="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customStyle="1" w:styleId="9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character" w:customStyle="1" w:styleId="10">
    <w:name w:val="Верхний колонтитул Знак"/>
    <w:basedOn w:val="3"/>
    <w:link w:val="6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1">
    <w:name w:val="Нижний колонтитул Знак"/>
    <w:basedOn w:val="3"/>
    <w:link w:val="7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">
    <w:name w:val="Текст выноски Знак"/>
    <w:basedOn w:val="3"/>
    <w:link w:val="5"/>
    <w:semiHidden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9</Pages>
  <Words>2033</Words>
  <Characters>11590</Characters>
  <Lines>96</Lines>
  <Paragraphs>27</Paragraphs>
  <TotalTime>157</TotalTime>
  <ScaleCrop>false</ScaleCrop>
  <LinksUpToDate>false</LinksUpToDate>
  <CharactersWithSpaces>13596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2023-12-13T03:08:00Z</dcterms:created>
  <dc:creator>Пользователь Windows</dc:creator>
  <cp:lastModifiedBy>Ognevka_zemlya</cp:lastModifiedBy>
  <cp:lastPrinted>2023-10-27T02:25:00Z</cp:lastPrinted>
  <dcterms:modified xsi:type="dcterms:W3CDTF">2025-11-26T08:10:51Z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B67B560E7BE64853B86FCBAE6D454D0D_12</vt:lpwstr>
  </property>
</Properties>
</file>